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sz w:val="32"/>
          <w:szCs w:val="32"/>
          <w:lang w:val="en-US" w:eastAsia="zh-CN"/>
        </w:rPr>
      </w:pPr>
      <w:r>
        <w:rPr>
          <w:rFonts w:hint="eastAsia" w:ascii="黑体" w:hAnsi="黑体" w:eastAsia="黑体" w:cs="黑体"/>
          <w:sz w:val="32"/>
          <w:szCs w:val="32"/>
          <w:lang w:val="en-US" w:eastAsia="zh-CN"/>
        </w:rPr>
        <w:t>盛京银行红玫</w:t>
      </w:r>
      <w:r>
        <w:rPr>
          <w:rFonts w:hint="eastAsia" w:ascii="黑体" w:hAnsi="黑体" w:eastAsia="黑体" w:cs="黑体"/>
          <w:color w:val="auto"/>
          <w:sz w:val="32"/>
          <w:szCs w:val="32"/>
          <w:lang w:val="en-US" w:eastAsia="zh-CN"/>
        </w:rPr>
        <w:t>瑰盛盈系列人民币理财产品第14期</w:t>
      </w:r>
    </w:p>
    <w:p>
      <w:pPr>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第7投资周期申购要素表</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尊敬的投资者：</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65"/>
        <w:jc w:val="both"/>
        <w:textAlignment w:val="auto"/>
        <w:outlineLvl w:val="9"/>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按照红玫瑰盛盈系列人民币理财产品说明书相关规定，现将红玫瑰盛盈系列人民币理财产</w:t>
      </w:r>
      <w:r>
        <w:rPr>
          <w:rFonts w:hint="eastAsia" w:ascii="宋体" w:hAnsi="宋体" w:cs="宋体"/>
          <w:color w:val="auto"/>
          <w:sz w:val="18"/>
          <w:szCs w:val="18"/>
          <w:highlight w:val="none"/>
          <w:lang w:val="en-US" w:eastAsia="zh-CN"/>
        </w:rPr>
        <w:t>品第14期</w:t>
      </w:r>
      <w:r>
        <w:rPr>
          <w:rFonts w:hint="eastAsia" w:ascii="宋体" w:hAnsi="宋体" w:cs="宋体"/>
          <w:color w:val="auto"/>
          <w:sz w:val="18"/>
          <w:szCs w:val="18"/>
          <w:lang w:val="en-US" w:eastAsia="zh-CN"/>
        </w:rPr>
        <w:t>第7投资周期申购要素表公布如下，请投资者关注：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65"/>
        <w:jc w:val="both"/>
        <w:textAlignment w:val="auto"/>
        <w:outlineLvl w:val="9"/>
        <w:rPr>
          <w:rFonts w:hint="eastAsia" w:ascii="宋体" w:hAnsi="宋体" w:cs="宋体"/>
          <w:sz w:val="18"/>
          <w:szCs w:val="18"/>
          <w:lang w:val="en-US" w:eastAsia="zh-CN"/>
        </w:rPr>
      </w:pPr>
    </w:p>
    <w:p>
      <w:pPr>
        <w:numPr>
          <w:ilvl w:val="0"/>
          <w:numId w:val="0"/>
        </w:numPr>
        <w:jc w:val="left"/>
        <w:rPr>
          <w:rFonts w:hint="eastAsia" w:ascii="宋体" w:hAnsi="宋体" w:cs="宋体"/>
          <w:b/>
          <w:bCs/>
          <w:sz w:val="21"/>
          <w:szCs w:val="21"/>
          <w:lang w:val="en-US" w:eastAsia="zh-CN"/>
        </w:rPr>
      </w:pPr>
      <w:r>
        <w:rPr>
          <w:rFonts w:hint="eastAsia" w:ascii="宋体" w:hAnsi="宋体" w:cs="宋体"/>
          <w:b/>
          <w:bCs/>
          <w:sz w:val="21"/>
          <w:szCs w:val="21"/>
          <w:lang w:val="en-US" w:eastAsia="zh-CN"/>
        </w:rPr>
        <w:t xml:space="preserve">    一、产品要素</w:t>
      </w:r>
    </w:p>
    <w:tbl>
      <w:tblPr>
        <w:tblStyle w:val="4"/>
        <w:tblW w:w="10309" w:type="dxa"/>
        <w:jc w:val="center"/>
        <w:tblInd w:w="-1445"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740"/>
        <w:gridCol w:w="3759"/>
        <w:gridCol w:w="381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产品名称</w:t>
            </w:r>
          </w:p>
        </w:tc>
        <w:tc>
          <w:tcPr>
            <w:tcW w:w="7569" w:type="dxa"/>
            <w:gridSpan w:val="2"/>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color w:val="auto"/>
                <w:kern w:val="0"/>
                <w:sz w:val="18"/>
              </w:rPr>
              <w:t>红玫瑰</w:t>
            </w:r>
            <w:r>
              <w:rPr>
                <w:rFonts w:hint="eastAsia" w:ascii="宋体" w:hAnsi="宋体"/>
                <w:color w:val="auto"/>
                <w:kern w:val="0"/>
                <w:sz w:val="18"/>
                <w:lang w:val="en-US" w:eastAsia="zh-CN"/>
              </w:rPr>
              <w:t>盛盈</w:t>
            </w:r>
            <w:r>
              <w:rPr>
                <w:rFonts w:hint="eastAsia" w:ascii="宋体" w:hAnsi="宋体"/>
                <w:color w:val="auto"/>
                <w:kern w:val="0"/>
                <w:sz w:val="18"/>
              </w:rPr>
              <w:t>系列人民币理财产品</w:t>
            </w:r>
            <w:r>
              <w:rPr>
                <w:rFonts w:hint="eastAsia" w:ascii="宋体" w:hAnsi="宋体"/>
                <w:color w:val="auto"/>
                <w:kern w:val="0"/>
                <w:sz w:val="18"/>
                <w:lang w:eastAsia="zh-CN"/>
              </w:rPr>
              <w:t>第</w:t>
            </w:r>
            <w:r>
              <w:rPr>
                <w:rFonts w:hint="eastAsia" w:ascii="宋体" w:hAnsi="宋体"/>
                <w:color w:val="auto"/>
                <w:kern w:val="0"/>
                <w:sz w:val="18"/>
                <w:lang w:val="en-US" w:eastAsia="zh-CN"/>
              </w:rPr>
              <w:t>14</w:t>
            </w:r>
            <w:r>
              <w:rPr>
                <w:rFonts w:hint="eastAsia" w:ascii="宋体" w:hAnsi="宋体"/>
                <w:color w:val="auto"/>
                <w:kern w:val="0"/>
                <w:sz w:val="18"/>
              </w:rPr>
              <w:t>期</w:t>
            </w:r>
            <w:r>
              <w:rPr>
                <w:rFonts w:hint="eastAsia" w:ascii="宋体" w:hAnsi="宋体"/>
                <w:color w:val="auto"/>
                <w:kern w:val="0"/>
                <w:sz w:val="18"/>
                <w:lang w:eastAsia="zh-CN"/>
              </w:rPr>
              <w:t>（</w:t>
            </w:r>
            <w:r>
              <w:rPr>
                <w:rFonts w:hint="eastAsia" w:ascii="宋体" w:hAnsi="宋体"/>
                <w:color w:val="auto"/>
                <w:kern w:val="0"/>
                <w:sz w:val="18"/>
              </w:rPr>
              <w:t>简称红玫瑰</w:t>
            </w:r>
            <w:r>
              <w:rPr>
                <w:rFonts w:hint="eastAsia" w:ascii="宋体" w:hAnsi="宋体"/>
                <w:color w:val="auto"/>
                <w:kern w:val="0"/>
                <w:sz w:val="18"/>
                <w:lang w:val="en-US" w:eastAsia="zh-CN"/>
              </w:rPr>
              <w:t>7</w:t>
            </w:r>
            <w:r>
              <w:rPr>
                <w:rFonts w:hint="eastAsia" w:ascii="宋体" w:hAnsi="宋体"/>
                <w:color w:val="auto"/>
                <w:kern w:val="0"/>
                <w:sz w:val="18"/>
              </w:rPr>
              <w:t>号</w:t>
            </w:r>
            <w:r>
              <w:rPr>
                <w:rFonts w:hint="eastAsia" w:ascii="宋体" w:hAnsi="宋体"/>
                <w:color w:val="auto"/>
                <w:kern w:val="0"/>
                <w:sz w:val="18"/>
                <w:lang w:val="en-US" w:eastAsia="zh-CN"/>
              </w:rPr>
              <w:t>人民币</w:t>
            </w:r>
            <w:r>
              <w:rPr>
                <w:rFonts w:hint="eastAsia" w:ascii="宋体" w:hAnsi="宋体"/>
                <w:color w:val="auto"/>
                <w:kern w:val="0"/>
                <w:sz w:val="18"/>
              </w:rPr>
              <w:t>理财产品</w:t>
            </w:r>
            <w:r>
              <w:rPr>
                <w:rFonts w:hint="eastAsia" w:ascii="宋体" w:hAnsi="宋体"/>
                <w:color w:val="auto"/>
                <w:kern w:val="0"/>
                <w:sz w:val="18"/>
                <w:lang w:eastAsia="zh-CN"/>
              </w:rPr>
              <w:t>第</w:t>
            </w:r>
            <w:r>
              <w:rPr>
                <w:rFonts w:hint="eastAsia" w:ascii="宋体" w:hAnsi="宋体"/>
                <w:color w:val="auto"/>
                <w:kern w:val="0"/>
                <w:sz w:val="18"/>
                <w:lang w:val="en-US" w:eastAsia="zh-CN"/>
              </w:rPr>
              <w:t>14</w:t>
            </w:r>
            <w:r>
              <w:rPr>
                <w:rFonts w:hint="eastAsia" w:ascii="宋体" w:hAnsi="宋体"/>
                <w:color w:val="auto"/>
                <w:kern w:val="0"/>
                <w:sz w:val="18"/>
              </w:rPr>
              <w:t>期</w:t>
            </w:r>
            <w:r>
              <w:rPr>
                <w:rFonts w:hint="eastAsia" w:ascii="宋体" w:hAnsi="宋体"/>
                <w:color w:val="auto"/>
                <w:kern w:val="0"/>
                <w:sz w:val="1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产品登记编码</w:t>
            </w:r>
          </w:p>
        </w:tc>
        <w:tc>
          <w:tcPr>
            <w:tcW w:w="7569" w:type="dxa"/>
            <w:gridSpan w:val="2"/>
            <w:tcBorders>
              <w:tl2br w:val="nil"/>
              <w:tr2bl w:val="nil"/>
            </w:tcBorders>
            <w:vAlign w:val="center"/>
          </w:tcPr>
          <w:p>
            <w:pPr>
              <w:numPr>
                <w:ilvl w:val="0"/>
                <w:numId w:val="0"/>
              </w:numPr>
              <w:ind w:left="0" w:leftChars="0" w:firstLine="0" w:firstLineChars="0"/>
              <w:jc w:val="left"/>
              <w:rPr>
                <w:rFonts w:hint="eastAsia" w:ascii="宋体" w:hAnsi="宋体"/>
                <w:color w:val="FF0000"/>
                <w:kern w:val="0"/>
                <w:sz w:val="18"/>
                <w:lang w:val="en-US" w:eastAsia="zh-CN"/>
              </w:rPr>
            </w:pPr>
            <w:r>
              <w:rPr>
                <w:rFonts w:hint="eastAsia" w:ascii="宋体" w:hAnsi="宋体"/>
                <w:kern w:val="0"/>
                <w:sz w:val="18"/>
                <w:lang w:eastAsia="zh-CN"/>
              </w:rPr>
              <w:t>本产品在全国银行业理财信息登记系统的编码是</w:t>
            </w:r>
            <w:r>
              <w:rPr>
                <w:rFonts w:hint="eastAsia" w:ascii="宋体" w:hAnsi="宋体"/>
                <w:color w:val="auto"/>
                <w:kern w:val="0"/>
                <w:sz w:val="18"/>
                <w:lang w:val="en-US" w:eastAsia="zh-CN"/>
              </w:rPr>
              <w:t>C1080918000658</w:t>
            </w:r>
            <w:r>
              <w:rPr>
                <w:rFonts w:hint="eastAsia" w:ascii="宋体" w:hAnsi="宋体"/>
                <w:kern w:val="0"/>
                <w:sz w:val="18"/>
                <w:lang w:val="en-US" w:eastAsia="zh-CN"/>
              </w:rPr>
              <w:t>，投资者可依据该编码在“中国理财网（www.chinawealth.com.cn）”查询本产品信息。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jc w:val="center"/>
              <w:rPr>
                <w:rFonts w:hint="eastAsia" w:ascii="宋体" w:hAnsi="宋体" w:cs="宋体"/>
                <w:sz w:val="18"/>
                <w:szCs w:val="18"/>
                <w:vertAlign w:val="baseline"/>
                <w:lang w:val="en-US" w:eastAsia="zh-CN"/>
              </w:rPr>
            </w:pPr>
            <w:r>
              <w:rPr>
                <w:rFonts w:hint="eastAsia" w:ascii="宋体" w:hAnsi="宋体"/>
                <w:sz w:val="18"/>
              </w:rPr>
              <w:t>产品代码</w:t>
            </w:r>
          </w:p>
        </w:tc>
        <w:tc>
          <w:tcPr>
            <w:tcW w:w="7569" w:type="dxa"/>
            <w:gridSpan w:val="2"/>
            <w:tcBorders>
              <w:tl2br w:val="nil"/>
              <w:tr2bl w:val="nil"/>
            </w:tcBorders>
            <w:vAlign w:val="center"/>
          </w:tcPr>
          <w:p>
            <w:pPr>
              <w:jc w:val="center"/>
              <w:rPr>
                <w:rFonts w:hint="eastAsia" w:ascii="宋体" w:hAnsi="宋体" w:eastAsia="宋体"/>
                <w:b/>
                <w:bCs/>
                <w:sz w:val="18"/>
                <w:lang w:eastAsia="zh-CN"/>
              </w:rPr>
            </w:pPr>
            <w:r>
              <w:rPr>
                <w:rFonts w:hint="eastAsia" w:ascii="宋体" w:hAnsi="宋体"/>
                <w:color w:val="auto"/>
                <w:sz w:val="18"/>
                <w:lang w:val="en-US" w:eastAsia="zh-CN"/>
              </w:rPr>
              <w:t>LC0718A00014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投资周期</w:t>
            </w:r>
          </w:p>
        </w:tc>
        <w:tc>
          <w:tcPr>
            <w:tcW w:w="7569" w:type="dxa"/>
            <w:gridSpan w:val="2"/>
            <w:tcBorders>
              <w:tl2br w:val="nil"/>
              <w:tr2bl w:val="nil"/>
            </w:tcBorders>
            <w:vAlign w:val="center"/>
          </w:tcPr>
          <w:p>
            <w:pPr>
              <w:numPr>
                <w:ilvl w:val="0"/>
                <w:numId w:val="0"/>
              </w:numPr>
              <w:jc w:val="center"/>
              <w:rPr>
                <w:rFonts w:hint="eastAsia" w:ascii="宋体" w:hAnsi="宋体" w:eastAsia="宋体"/>
                <w:b/>
                <w:bCs/>
                <w:color w:val="auto"/>
                <w:sz w:val="18"/>
                <w:lang w:eastAsia="zh-CN"/>
              </w:rPr>
            </w:pPr>
            <w:r>
              <w:rPr>
                <w:rFonts w:hint="eastAsia" w:ascii="宋体" w:hAnsi="宋体"/>
                <w:b/>
                <w:bCs/>
                <w:color w:val="auto"/>
                <w:sz w:val="18"/>
                <w:lang w:eastAsia="zh-CN"/>
              </w:rPr>
              <w:t>第</w:t>
            </w:r>
            <w:r>
              <w:rPr>
                <w:rFonts w:hint="eastAsia" w:ascii="宋体" w:hAnsi="宋体"/>
                <w:b/>
                <w:bCs/>
                <w:color w:val="auto"/>
                <w:sz w:val="18"/>
                <w:lang w:val="en-US" w:eastAsia="zh-CN"/>
              </w:rPr>
              <w:t>7投资周期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销售地区</w:t>
            </w:r>
          </w:p>
        </w:tc>
        <w:tc>
          <w:tcPr>
            <w:tcW w:w="7569" w:type="dxa"/>
            <w:gridSpan w:val="2"/>
            <w:tcBorders>
              <w:tl2br w:val="nil"/>
              <w:tr2bl w:val="nil"/>
            </w:tcBorders>
            <w:vAlign w:val="center"/>
          </w:tcPr>
          <w:p>
            <w:pPr>
              <w:numPr>
                <w:ilvl w:val="0"/>
                <w:numId w:val="0"/>
              </w:numPr>
              <w:jc w:val="center"/>
              <w:rPr>
                <w:rFonts w:hint="eastAsia"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全国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销售渠道</w:t>
            </w:r>
          </w:p>
        </w:tc>
        <w:tc>
          <w:tcPr>
            <w:tcW w:w="7569" w:type="dxa"/>
            <w:gridSpan w:val="2"/>
            <w:tcBorders>
              <w:tl2br w:val="nil"/>
              <w:tr2bl w:val="nil"/>
            </w:tcBorders>
            <w:vAlign w:val="center"/>
          </w:tcPr>
          <w:p>
            <w:pPr>
              <w:numPr>
                <w:ilvl w:val="0"/>
                <w:numId w:val="0"/>
              </w:numPr>
              <w:ind w:left="0" w:leftChars="0" w:firstLine="0" w:firstLineChars="0"/>
              <w:jc w:val="center"/>
              <w:rPr>
                <w:rFonts w:hint="eastAsia"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柜面、手机银行、网上银行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34" w:hRule="atLeast"/>
          <w:jc w:val="center"/>
        </w:trPr>
        <w:tc>
          <w:tcPr>
            <w:tcW w:w="2740" w:type="dxa"/>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本投资周期预期收益率（年化）</w:t>
            </w:r>
          </w:p>
        </w:tc>
        <w:tc>
          <w:tcPr>
            <w:tcW w:w="3759" w:type="dxa"/>
            <w:tcBorders>
              <w:tl2br w:val="nil"/>
              <w:tr2bl w:val="nil"/>
            </w:tcBorders>
            <w:vAlign w:val="center"/>
          </w:tcPr>
          <w:p>
            <w:pPr>
              <w:jc w:val="center"/>
              <w:rPr>
                <w:rFonts w:hint="eastAsia" w:ascii="宋体" w:hAnsi="宋体" w:cs="宋体"/>
                <w:color w:val="auto"/>
                <w:sz w:val="18"/>
                <w:szCs w:val="18"/>
                <w:vertAlign w:val="baseline"/>
                <w:lang w:val="en-US" w:eastAsia="zh-CN"/>
              </w:rPr>
            </w:pPr>
            <w:r>
              <w:rPr>
                <w:rFonts w:hint="eastAsia" w:ascii="宋体" w:hAnsi="宋体"/>
                <w:color w:val="auto"/>
                <w:sz w:val="18"/>
              </w:rPr>
              <w:t>个人：</w:t>
            </w:r>
            <w:r>
              <w:rPr>
                <w:rFonts w:hint="eastAsia" w:ascii="宋体" w:hAnsi="宋体"/>
                <w:color w:val="auto"/>
                <w:sz w:val="18"/>
                <w:lang w:val="en-US" w:eastAsia="zh-CN"/>
              </w:rPr>
              <w:t>4.2</w:t>
            </w:r>
            <w:r>
              <w:rPr>
                <w:rFonts w:hint="eastAsia" w:ascii="宋体" w:hAnsi="宋体"/>
                <w:color w:val="auto"/>
                <w:sz w:val="18"/>
              </w:rPr>
              <w:t>%</w:t>
            </w:r>
          </w:p>
        </w:tc>
        <w:tc>
          <w:tcPr>
            <w:tcW w:w="3810" w:type="dxa"/>
            <w:tcBorders>
              <w:tl2br w:val="nil"/>
              <w:tr2bl w:val="nil"/>
            </w:tcBorders>
            <w:vAlign w:val="center"/>
          </w:tcPr>
          <w:p>
            <w:pPr>
              <w:jc w:val="center"/>
              <w:rPr>
                <w:rFonts w:hint="eastAsia" w:ascii="宋体" w:hAnsi="宋体" w:cs="宋体"/>
                <w:color w:val="auto"/>
                <w:sz w:val="18"/>
                <w:szCs w:val="18"/>
                <w:vertAlign w:val="baseline"/>
                <w:lang w:val="en-US" w:eastAsia="zh-CN"/>
              </w:rPr>
            </w:pPr>
            <w:r>
              <w:rPr>
                <w:rFonts w:hint="eastAsia" w:ascii="宋体" w:hAnsi="宋体"/>
                <w:color w:val="auto"/>
                <w:sz w:val="18"/>
              </w:rPr>
              <w:t>法人：</w:t>
            </w:r>
            <w:r>
              <w:rPr>
                <w:rFonts w:hint="eastAsia" w:ascii="宋体" w:hAnsi="宋体"/>
                <w:color w:val="auto"/>
                <w:sz w:val="18"/>
                <w:lang w:val="en-US" w:eastAsia="zh-CN"/>
              </w:rPr>
              <w:t>4.2</w:t>
            </w:r>
            <w:r>
              <w:rPr>
                <w:rFonts w:hint="eastAsia" w:ascii="宋体" w:hAnsi="宋体"/>
                <w:color w:val="auto"/>
                <w:sz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34" w:hRule="atLeast"/>
          <w:jc w:val="center"/>
        </w:trPr>
        <w:tc>
          <w:tcPr>
            <w:tcW w:w="2740" w:type="dxa"/>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投资起点金额</w:t>
            </w:r>
          </w:p>
        </w:tc>
        <w:tc>
          <w:tcPr>
            <w:tcW w:w="7569" w:type="dxa"/>
            <w:gridSpan w:val="2"/>
            <w:tcBorders>
              <w:tl2br w:val="nil"/>
              <w:tr2bl w:val="nil"/>
            </w:tcBorders>
            <w:vAlign w:val="center"/>
          </w:tcPr>
          <w:p>
            <w:pPr>
              <w:numPr>
                <w:ilvl w:val="0"/>
                <w:numId w:val="0"/>
              </w:numPr>
              <w:jc w:val="center"/>
              <w:rPr>
                <w:rFonts w:hint="eastAsia"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5万元人民币，以1万元人民币整数倍递增</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kern w:val="0"/>
                <w:sz w:val="18"/>
                <w:lang w:eastAsia="zh-CN"/>
              </w:rPr>
            </w:pPr>
            <w:r>
              <w:rPr>
                <w:rFonts w:hint="eastAsia" w:ascii="宋体" w:hAnsi="宋体" w:cs="宋体"/>
                <w:sz w:val="18"/>
                <w:szCs w:val="18"/>
                <w:vertAlign w:val="baseline"/>
                <w:lang w:val="en-US" w:eastAsia="zh-CN"/>
              </w:rPr>
              <w:t>本投资周期发行规模</w:t>
            </w:r>
          </w:p>
        </w:tc>
        <w:tc>
          <w:tcPr>
            <w:tcW w:w="7569" w:type="dxa"/>
            <w:gridSpan w:val="2"/>
            <w:tcBorders>
              <w:tl2br w:val="nil"/>
              <w:tr2bl w:val="nil"/>
            </w:tcBorders>
            <w:vAlign w:val="center"/>
          </w:tcPr>
          <w:p>
            <w:pPr>
              <w:numPr>
                <w:ilvl w:val="0"/>
                <w:numId w:val="0"/>
              </w:numPr>
              <w:jc w:val="center"/>
              <w:rPr>
                <w:rFonts w:hint="eastAsia" w:ascii="宋体" w:hAnsi="宋体" w:eastAsia="宋体"/>
                <w:color w:val="auto"/>
                <w:kern w:val="0"/>
                <w:sz w:val="18"/>
                <w:lang w:val="en-US" w:eastAsia="zh-CN"/>
              </w:rPr>
            </w:pPr>
            <w:r>
              <w:rPr>
                <w:rFonts w:hint="eastAsia" w:ascii="宋体" w:hAnsi="宋体" w:cs="宋体"/>
                <w:color w:val="auto"/>
                <w:sz w:val="18"/>
                <w:szCs w:val="18"/>
                <w:vertAlign w:val="baseline"/>
                <w:lang w:val="en-US" w:eastAsia="zh-CN"/>
              </w:rPr>
              <w:t>不超过2亿元人民币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ind w:left="0" w:leftChars="0" w:firstLine="0" w:firstLineChars="0"/>
              <w:jc w:val="center"/>
              <w:rPr>
                <w:rFonts w:hint="eastAsia" w:ascii="宋体" w:hAnsi="宋体"/>
                <w:kern w:val="0"/>
                <w:sz w:val="18"/>
                <w:lang w:eastAsia="zh-CN"/>
              </w:rPr>
            </w:pPr>
            <w:r>
              <w:rPr>
                <w:rFonts w:hint="eastAsia" w:ascii="宋体" w:hAnsi="宋体"/>
                <w:kern w:val="0"/>
                <w:sz w:val="18"/>
                <w:lang w:eastAsia="zh-CN"/>
              </w:rPr>
              <w:t>本投资周期赎回日期</w:t>
            </w:r>
          </w:p>
        </w:tc>
        <w:tc>
          <w:tcPr>
            <w:tcW w:w="7569" w:type="dxa"/>
            <w:gridSpan w:val="2"/>
            <w:tcBorders>
              <w:tl2br w:val="nil"/>
              <w:tr2bl w:val="nil"/>
            </w:tcBorders>
            <w:vAlign w:val="center"/>
          </w:tcPr>
          <w:p>
            <w:pPr>
              <w:numPr>
                <w:ilvl w:val="0"/>
                <w:numId w:val="0"/>
              </w:numPr>
              <w:ind w:left="0" w:leftChars="0" w:firstLine="0" w:firstLineChars="0"/>
              <w:jc w:val="center"/>
              <w:rPr>
                <w:rFonts w:hint="eastAsia" w:ascii="宋体" w:hAnsi="宋体"/>
                <w:color w:val="FF0000"/>
                <w:kern w:val="0"/>
                <w:sz w:val="18"/>
              </w:rPr>
            </w:pPr>
            <w:r>
              <w:rPr>
                <w:rFonts w:hint="eastAsia" w:ascii="宋体" w:hAnsi="宋体"/>
                <w:color w:val="auto"/>
                <w:kern w:val="0"/>
                <w:sz w:val="18"/>
              </w:rPr>
              <w:t>201</w:t>
            </w:r>
            <w:r>
              <w:rPr>
                <w:rFonts w:hint="eastAsia" w:ascii="宋体" w:hAnsi="宋体"/>
                <w:color w:val="auto"/>
                <w:kern w:val="0"/>
                <w:sz w:val="18"/>
                <w:lang w:val="en-US" w:eastAsia="zh-CN"/>
              </w:rPr>
              <w:t>9</w:t>
            </w:r>
            <w:r>
              <w:rPr>
                <w:rFonts w:hint="eastAsia" w:ascii="宋体" w:hAnsi="宋体"/>
                <w:color w:val="auto"/>
                <w:kern w:val="0"/>
                <w:sz w:val="18"/>
              </w:rPr>
              <w:t>年</w:t>
            </w:r>
            <w:r>
              <w:rPr>
                <w:rFonts w:hint="eastAsia" w:ascii="宋体" w:hAnsi="宋体"/>
                <w:color w:val="auto"/>
                <w:kern w:val="0"/>
                <w:sz w:val="18"/>
                <w:lang w:val="en-US" w:eastAsia="zh-CN"/>
              </w:rPr>
              <w:t>6</w:t>
            </w:r>
            <w:r>
              <w:rPr>
                <w:rFonts w:hint="eastAsia" w:ascii="宋体" w:hAnsi="宋体"/>
                <w:color w:val="auto"/>
                <w:kern w:val="0"/>
                <w:sz w:val="18"/>
              </w:rPr>
              <w:t>月</w:t>
            </w:r>
            <w:r>
              <w:rPr>
                <w:rFonts w:hint="eastAsia" w:ascii="宋体" w:hAnsi="宋体"/>
                <w:color w:val="auto"/>
                <w:kern w:val="0"/>
                <w:sz w:val="18"/>
                <w:lang w:val="en-US" w:eastAsia="zh-CN"/>
              </w:rPr>
              <w:t>12</w:t>
            </w:r>
            <w:r>
              <w:rPr>
                <w:rFonts w:hint="eastAsia" w:ascii="宋体" w:hAnsi="宋体"/>
                <w:color w:val="auto"/>
                <w:kern w:val="0"/>
                <w:sz w:val="18"/>
              </w:rPr>
              <w:t>日—201</w:t>
            </w:r>
            <w:r>
              <w:rPr>
                <w:rFonts w:hint="eastAsia" w:ascii="宋体" w:hAnsi="宋体"/>
                <w:color w:val="auto"/>
                <w:kern w:val="0"/>
                <w:sz w:val="18"/>
                <w:lang w:val="en-US" w:eastAsia="zh-CN"/>
              </w:rPr>
              <w:t>9</w:t>
            </w:r>
            <w:r>
              <w:rPr>
                <w:rFonts w:hint="eastAsia" w:ascii="宋体" w:hAnsi="宋体"/>
                <w:color w:val="auto"/>
                <w:kern w:val="0"/>
                <w:sz w:val="18"/>
              </w:rPr>
              <w:t>年</w:t>
            </w:r>
            <w:r>
              <w:rPr>
                <w:rFonts w:hint="eastAsia" w:ascii="宋体" w:hAnsi="宋体"/>
                <w:color w:val="auto"/>
                <w:kern w:val="0"/>
                <w:sz w:val="18"/>
                <w:lang w:val="en-US" w:eastAsia="zh-CN"/>
              </w:rPr>
              <w:t>6</w:t>
            </w:r>
            <w:r>
              <w:rPr>
                <w:rFonts w:hint="eastAsia" w:ascii="宋体" w:hAnsi="宋体"/>
                <w:color w:val="auto"/>
                <w:kern w:val="0"/>
                <w:sz w:val="18"/>
              </w:rPr>
              <w:t>月</w:t>
            </w:r>
            <w:r>
              <w:rPr>
                <w:rFonts w:hint="eastAsia" w:ascii="宋体" w:hAnsi="宋体"/>
                <w:color w:val="auto"/>
                <w:kern w:val="0"/>
                <w:sz w:val="18"/>
                <w:lang w:val="en-US" w:eastAsia="zh-CN"/>
              </w:rPr>
              <w:t>18</w:t>
            </w:r>
            <w:r>
              <w:rPr>
                <w:rFonts w:hint="eastAsia" w:ascii="宋体" w:hAnsi="宋体"/>
                <w:color w:val="auto"/>
                <w:kern w:val="0"/>
                <w:sz w:val="18"/>
              </w:rPr>
              <w:t>日</w:t>
            </w:r>
            <w:r>
              <w:rPr>
                <w:rFonts w:hint="eastAsia" w:ascii="宋体" w:hAnsi="宋体"/>
                <w:color w:val="auto"/>
                <w:kern w:val="0"/>
                <w:sz w:val="18"/>
                <w:lang w:eastAsia="zh-CN"/>
              </w:rPr>
              <w:t>（</w:t>
            </w:r>
            <w:r>
              <w:rPr>
                <w:rFonts w:hint="eastAsia" w:ascii="宋体" w:hAnsi="宋体"/>
                <w:color w:val="auto"/>
                <w:kern w:val="0"/>
                <w:sz w:val="18"/>
                <w:lang w:val="en-US" w:eastAsia="zh-CN"/>
              </w:rPr>
              <w:t>17:00前</w:t>
            </w:r>
            <w:r>
              <w:rPr>
                <w:rFonts w:hint="eastAsia" w:ascii="宋体" w:hAnsi="宋体"/>
                <w:color w:val="auto"/>
                <w:kern w:val="0"/>
                <w:sz w:val="1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ind w:left="0" w:leftChars="0" w:firstLine="0" w:firstLineChars="0"/>
              <w:jc w:val="center"/>
              <w:rPr>
                <w:rFonts w:hint="eastAsia" w:ascii="宋体" w:hAnsi="宋体"/>
                <w:kern w:val="0"/>
                <w:sz w:val="18"/>
                <w:lang w:eastAsia="zh-CN"/>
              </w:rPr>
            </w:pPr>
            <w:r>
              <w:rPr>
                <w:rFonts w:hint="eastAsia" w:ascii="宋体" w:hAnsi="宋体"/>
                <w:kern w:val="0"/>
                <w:sz w:val="18"/>
                <w:lang w:eastAsia="zh-CN"/>
              </w:rPr>
              <w:t>本投资周期赎回撤单日期</w:t>
            </w:r>
          </w:p>
        </w:tc>
        <w:tc>
          <w:tcPr>
            <w:tcW w:w="7569" w:type="dxa"/>
            <w:gridSpan w:val="2"/>
            <w:tcBorders>
              <w:tl2br w:val="nil"/>
              <w:tr2bl w:val="nil"/>
            </w:tcBorders>
            <w:vAlign w:val="center"/>
          </w:tcPr>
          <w:p>
            <w:pPr>
              <w:numPr>
                <w:ilvl w:val="0"/>
                <w:numId w:val="0"/>
              </w:numPr>
              <w:ind w:left="0" w:leftChars="0" w:firstLine="0" w:firstLineChars="0"/>
              <w:jc w:val="center"/>
              <w:rPr>
                <w:rFonts w:hint="eastAsia" w:ascii="宋体" w:hAnsi="宋体"/>
                <w:color w:val="auto"/>
                <w:kern w:val="0"/>
                <w:sz w:val="18"/>
              </w:rPr>
            </w:pPr>
            <w:r>
              <w:rPr>
                <w:rFonts w:hint="eastAsia" w:ascii="宋体" w:hAnsi="宋体"/>
                <w:color w:val="auto"/>
                <w:kern w:val="0"/>
                <w:sz w:val="18"/>
              </w:rPr>
              <w:t>201</w:t>
            </w:r>
            <w:r>
              <w:rPr>
                <w:rFonts w:hint="eastAsia" w:ascii="宋体" w:hAnsi="宋体"/>
                <w:color w:val="auto"/>
                <w:kern w:val="0"/>
                <w:sz w:val="18"/>
                <w:lang w:val="en-US" w:eastAsia="zh-CN"/>
              </w:rPr>
              <w:t>9</w:t>
            </w:r>
            <w:r>
              <w:rPr>
                <w:rFonts w:hint="eastAsia" w:ascii="宋体" w:hAnsi="宋体"/>
                <w:color w:val="auto"/>
                <w:kern w:val="0"/>
                <w:sz w:val="18"/>
              </w:rPr>
              <w:t>年</w:t>
            </w:r>
            <w:r>
              <w:rPr>
                <w:rFonts w:hint="eastAsia" w:ascii="宋体" w:hAnsi="宋体"/>
                <w:color w:val="auto"/>
                <w:kern w:val="0"/>
                <w:sz w:val="18"/>
                <w:lang w:val="en-US" w:eastAsia="zh-CN"/>
              </w:rPr>
              <w:t>6</w:t>
            </w:r>
            <w:r>
              <w:rPr>
                <w:rFonts w:hint="eastAsia" w:ascii="宋体" w:hAnsi="宋体"/>
                <w:color w:val="auto"/>
                <w:kern w:val="0"/>
                <w:sz w:val="18"/>
              </w:rPr>
              <w:t>月</w:t>
            </w:r>
            <w:r>
              <w:rPr>
                <w:rFonts w:hint="eastAsia" w:ascii="宋体" w:hAnsi="宋体"/>
                <w:color w:val="auto"/>
                <w:kern w:val="0"/>
                <w:sz w:val="18"/>
                <w:lang w:val="en-US" w:eastAsia="zh-CN"/>
              </w:rPr>
              <w:t>12</w:t>
            </w:r>
            <w:r>
              <w:rPr>
                <w:rFonts w:hint="eastAsia" w:ascii="宋体" w:hAnsi="宋体"/>
                <w:color w:val="auto"/>
                <w:kern w:val="0"/>
                <w:sz w:val="18"/>
              </w:rPr>
              <w:t>日—201</w:t>
            </w:r>
            <w:r>
              <w:rPr>
                <w:rFonts w:hint="eastAsia" w:ascii="宋体" w:hAnsi="宋体"/>
                <w:color w:val="auto"/>
                <w:kern w:val="0"/>
                <w:sz w:val="18"/>
                <w:lang w:val="en-US" w:eastAsia="zh-CN"/>
              </w:rPr>
              <w:t>9年6</w:t>
            </w:r>
            <w:r>
              <w:rPr>
                <w:rFonts w:hint="eastAsia" w:ascii="宋体" w:hAnsi="宋体"/>
                <w:color w:val="auto"/>
                <w:kern w:val="0"/>
                <w:sz w:val="18"/>
              </w:rPr>
              <w:t>月</w:t>
            </w:r>
            <w:r>
              <w:rPr>
                <w:rFonts w:hint="eastAsia" w:ascii="宋体" w:hAnsi="宋体"/>
                <w:color w:val="auto"/>
                <w:kern w:val="0"/>
                <w:sz w:val="18"/>
                <w:lang w:val="en-US" w:eastAsia="zh-CN"/>
              </w:rPr>
              <w:t>18</w:t>
            </w:r>
            <w:r>
              <w:rPr>
                <w:rFonts w:hint="eastAsia" w:ascii="宋体" w:hAnsi="宋体"/>
                <w:color w:val="auto"/>
                <w:kern w:val="0"/>
                <w:sz w:val="18"/>
              </w:rPr>
              <w:t>日</w:t>
            </w:r>
            <w:r>
              <w:rPr>
                <w:rFonts w:hint="eastAsia" w:ascii="宋体" w:hAnsi="宋体"/>
                <w:color w:val="auto"/>
                <w:kern w:val="0"/>
                <w:sz w:val="18"/>
                <w:lang w:eastAsia="zh-CN"/>
              </w:rPr>
              <w:t>（</w:t>
            </w:r>
            <w:r>
              <w:rPr>
                <w:rFonts w:hint="eastAsia" w:ascii="宋体" w:hAnsi="宋体"/>
                <w:color w:val="auto"/>
                <w:kern w:val="0"/>
                <w:sz w:val="18"/>
                <w:lang w:val="en-US" w:eastAsia="zh-CN"/>
              </w:rPr>
              <w:t>17:00前）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ind w:left="0" w:leftChars="0" w:firstLine="0" w:firstLineChars="0"/>
              <w:jc w:val="center"/>
              <w:rPr>
                <w:rFonts w:hint="eastAsia" w:ascii="宋体" w:hAnsi="宋体"/>
                <w:kern w:val="0"/>
                <w:sz w:val="18"/>
                <w:lang w:eastAsia="zh-CN"/>
              </w:rPr>
            </w:pPr>
            <w:r>
              <w:rPr>
                <w:rFonts w:hint="eastAsia" w:ascii="宋体" w:hAnsi="宋体"/>
                <w:kern w:val="0"/>
                <w:sz w:val="18"/>
                <w:lang w:eastAsia="zh-CN"/>
              </w:rPr>
              <w:t>本投资周期申购日期</w:t>
            </w:r>
          </w:p>
        </w:tc>
        <w:tc>
          <w:tcPr>
            <w:tcW w:w="7569" w:type="dxa"/>
            <w:gridSpan w:val="2"/>
            <w:tcBorders>
              <w:tl2br w:val="nil"/>
              <w:tr2bl w:val="nil"/>
            </w:tcBorders>
            <w:vAlign w:val="center"/>
          </w:tcPr>
          <w:p>
            <w:pPr>
              <w:numPr>
                <w:ilvl w:val="0"/>
                <w:numId w:val="0"/>
              </w:numPr>
              <w:ind w:left="0" w:leftChars="0" w:firstLine="0" w:firstLineChars="0"/>
              <w:jc w:val="center"/>
              <w:rPr>
                <w:rFonts w:hint="eastAsia" w:ascii="宋体" w:hAnsi="宋体"/>
                <w:color w:val="auto"/>
                <w:kern w:val="0"/>
                <w:sz w:val="18"/>
              </w:rPr>
            </w:pPr>
            <w:r>
              <w:rPr>
                <w:rFonts w:hint="eastAsia" w:ascii="宋体" w:hAnsi="宋体"/>
                <w:color w:val="auto"/>
                <w:kern w:val="0"/>
                <w:sz w:val="18"/>
              </w:rPr>
              <w:t>201</w:t>
            </w:r>
            <w:r>
              <w:rPr>
                <w:rFonts w:hint="eastAsia" w:ascii="宋体" w:hAnsi="宋体"/>
                <w:color w:val="auto"/>
                <w:kern w:val="0"/>
                <w:sz w:val="18"/>
                <w:lang w:val="en-US" w:eastAsia="zh-CN"/>
              </w:rPr>
              <w:t>9</w:t>
            </w:r>
            <w:r>
              <w:rPr>
                <w:rFonts w:hint="eastAsia" w:ascii="宋体" w:hAnsi="宋体"/>
                <w:color w:val="auto"/>
                <w:kern w:val="0"/>
                <w:sz w:val="18"/>
              </w:rPr>
              <w:t>年</w:t>
            </w:r>
            <w:r>
              <w:rPr>
                <w:rFonts w:hint="eastAsia" w:ascii="宋体" w:hAnsi="宋体"/>
                <w:color w:val="auto"/>
                <w:kern w:val="0"/>
                <w:sz w:val="18"/>
                <w:lang w:val="en-US" w:eastAsia="zh-CN"/>
              </w:rPr>
              <w:t>6</w:t>
            </w:r>
            <w:r>
              <w:rPr>
                <w:rFonts w:hint="eastAsia" w:ascii="宋体" w:hAnsi="宋体"/>
                <w:color w:val="auto"/>
                <w:kern w:val="0"/>
                <w:sz w:val="18"/>
              </w:rPr>
              <w:t>月</w:t>
            </w:r>
            <w:r>
              <w:rPr>
                <w:rFonts w:hint="eastAsia" w:ascii="宋体" w:hAnsi="宋体"/>
                <w:color w:val="auto"/>
                <w:kern w:val="0"/>
                <w:sz w:val="18"/>
                <w:lang w:val="en-US" w:eastAsia="zh-CN"/>
              </w:rPr>
              <w:t>12</w:t>
            </w:r>
            <w:r>
              <w:rPr>
                <w:rFonts w:hint="eastAsia" w:ascii="宋体" w:hAnsi="宋体"/>
                <w:color w:val="auto"/>
                <w:kern w:val="0"/>
                <w:sz w:val="18"/>
              </w:rPr>
              <w:t>日—201</w:t>
            </w:r>
            <w:r>
              <w:rPr>
                <w:rFonts w:hint="eastAsia" w:ascii="宋体" w:hAnsi="宋体"/>
                <w:color w:val="auto"/>
                <w:kern w:val="0"/>
                <w:sz w:val="18"/>
                <w:lang w:val="en-US" w:eastAsia="zh-CN"/>
              </w:rPr>
              <w:t>9</w:t>
            </w:r>
            <w:r>
              <w:rPr>
                <w:rFonts w:hint="eastAsia" w:ascii="宋体" w:hAnsi="宋体"/>
                <w:color w:val="auto"/>
                <w:kern w:val="0"/>
                <w:sz w:val="18"/>
              </w:rPr>
              <w:t>年</w:t>
            </w:r>
            <w:r>
              <w:rPr>
                <w:rFonts w:hint="eastAsia" w:ascii="宋体" w:hAnsi="宋体"/>
                <w:color w:val="auto"/>
                <w:kern w:val="0"/>
                <w:sz w:val="18"/>
                <w:lang w:val="en-US" w:eastAsia="zh-CN"/>
              </w:rPr>
              <w:t>6</w:t>
            </w:r>
            <w:r>
              <w:rPr>
                <w:rFonts w:hint="eastAsia" w:ascii="宋体" w:hAnsi="宋体"/>
                <w:color w:val="auto"/>
                <w:kern w:val="0"/>
                <w:sz w:val="18"/>
              </w:rPr>
              <w:t>月</w:t>
            </w:r>
            <w:r>
              <w:rPr>
                <w:rFonts w:hint="eastAsia" w:ascii="宋体" w:hAnsi="宋体"/>
                <w:color w:val="auto"/>
                <w:kern w:val="0"/>
                <w:sz w:val="18"/>
                <w:lang w:val="en-US" w:eastAsia="zh-CN"/>
              </w:rPr>
              <w:t>19</w:t>
            </w:r>
            <w:r>
              <w:rPr>
                <w:rFonts w:hint="eastAsia" w:ascii="宋体" w:hAnsi="宋体"/>
                <w:color w:val="auto"/>
                <w:kern w:val="0"/>
                <w:sz w:val="18"/>
              </w:rPr>
              <w:t>日</w:t>
            </w:r>
            <w:r>
              <w:rPr>
                <w:rFonts w:hint="eastAsia" w:ascii="宋体" w:hAnsi="宋体"/>
                <w:color w:val="auto"/>
                <w:kern w:val="0"/>
                <w:sz w:val="18"/>
                <w:lang w:eastAsia="zh-CN"/>
              </w:rPr>
              <w:t>（</w:t>
            </w:r>
            <w:r>
              <w:rPr>
                <w:rFonts w:hint="eastAsia" w:ascii="宋体" w:hAnsi="宋体"/>
                <w:color w:val="auto"/>
                <w:kern w:val="0"/>
                <w:sz w:val="18"/>
                <w:lang w:val="en-US" w:eastAsia="zh-CN"/>
              </w:rPr>
              <w:t>17:00前</w:t>
            </w:r>
            <w:r>
              <w:rPr>
                <w:rFonts w:hint="eastAsia" w:ascii="宋体" w:hAnsi="宋体"/>
                <w:color w:val="auto"/>
                <w:kern w:val="0"/>
                <w:sz w:val="1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ind w:left="0" w:leftChars="0" w:firstLine="0" w:firstLineChars="0"/>
              <w:jc w:val="center"/>
              <w:rPr>
                <w:rFonts w:hint="eastAsia" w:ascii="宋体" w:hAnsi="宋体"/>
                <w:kern w:val="0"/>
                <w:sz w:val="18"/>
                <w:lang w:eastAsia="zh-CN"/>
              </w:rPr>
            </w:pPr>
            <w:r>
              <w:rPr>
                <w:rFonts w:hint="eastAsia" w:ascii="宋体" w:hAnsi="宋体"/>
                <w:kern w:val="0"/>
                <w:sz w:val="18"/>
                <w:lang w:eastAsia="zh-CN"/>
              </w:rPr>
              <w:t>本投资周期申购撤单日期</w:t>
            </w:r>
          </w:p>
        </w:tc>
        <w:tc>
          <w:tcPr>
            <w:tcW w:w="7569" w:type="dxa"/>
            <w:gridSpan w:val="2"/>
            <w:tcBorders>
              <w:tl2br w:val="nil"/>
              <w:tr2bl w:val="nil"/>
            </w:tcBorders>
            <w:vAlign w:val="center"/>
          </w:tcPr>
          <w:p>
            <w:pPr>
              <w:numPr>
                <w:ilvl w:val="0"/>
                <w:numId w:val="0"/>
              </w:numPr>
              <w:ind w:left="0" w:leftChars="0" w:firstLine="0" w:firstLineChars="0"/>
              <w:jc w:val="center"/>
              <w:rPr>
                <w:rFonts w:hint="eastAsia" w:ascii="宋体" w:hAnsi="宋体"/>
                <w:color w:val="auto"/>
                <w:kern w:val="0"/>
                <w:sz w:val="18"/>
              </w:rPr>
            </w:pPr>
            <w:r>
              <w:rPr>
                <w:rFonts w:hint="eastAsia" w:ascii="宋体" w:hAnsi="宋体"/>
                <w:color w:val="auto"/>
                <w:kern w:val="0"/>
                <w:sz w:val="18"/>
              </w:rPr>
              <w:t>201</w:t>
            </w:r>
            <w:r>
              <w:rPr>
                <w:rFonts w:hint="eastAsia" w:ascii="宋体" w:hAnsi="宋体"/>
                <w:color w:val="auto"/>
                <w:kern w:val="0"/>
                <w:sz w:val="18"/>
                <w:lang w:val="en-US" w:eastAsia="zh-CN"/>
              </w:rPr>
              <w:t>9</w:t>
            </w:r>
            <w:r>
              <w:rPr>
                <w:rFonts w:hint="eastAsia" w:ascii="宋体" w:hAnsi="宋体"/>
                <w:color w:val="auto"/>
                <w:kern w:val="0"/>
                <w:sz w:val="18"/>
              </w:rPr>
              <w:t>年</w:t>
            </w:r>
            <w:r>
              <w:rPr>
                <w:rFonts w:hint="eastAsia" w:ascii="宋体" w:hAnsi="宋体"/>
                <w:color w:val="auto"/>
                <w:kern w:val="0"/>
                <w:sz w:val="18"/>
                <w:lang w:val="en-US" w:eastAsia="zh-CN"/>
              </w:rPr>
              <w:t>6</w:t>
            </w:r>
            <w:r>
              <w:rPr>
                <w:rFonts w:hint="eastAsia" w:ascii="宋体" w:hAnsi="宋体"/>
                <w:color w:val="auto"/>
                <w:kern w:val="0"/>
                <w:sz w:val="18"/>
              </w:rPr>
              <w:t>月</w:t>
            </w:r>
            <w:r>
              <w:rPr>
                <w:rFonts w:hint="eastAsia" w:ascii="宋体" w:hAnsi="宋体"/>
                <w:color w:val="auto"/>
                <w:kern w:val="0"/>
                <w:sz w:val="18"/>
                <w:lang w:val="en-US" w:eastAsia="zh-CN"/>
              </w:rPr>
              <w:t>12</w:t>
            </w:r>
            <w:r>
              <w:rPr>
                <w:rFonts w:hint="eastAsia" w:ascii="宋体" w:hAnsi="宋体"/>
                <w:color w:val="auto"/>
                <w:kern w:val="0"/>
                <w:sz w:val="18"/>
              </w:rPr>
              <w:t>日—201</w:t>
            </w:r>
            <w:r>
              <w:rPr>
                <w:rFonts w:hint="eastAsia" w:ascii="宋体" w:hAnsi="宋体"/>
                <w:color w:val="auto"/>
                <w:kern w:val="0"/>
                <w:sz w:val="18"/>
                <w:lang w:val="en-US" w:eastAsia="zh-CN"/>
              </w:rPr>
              <w:t>9</w:t>
            </w:r>
            <w:r>
              <w:rPr>
                <w:rFonts w:hint="eastAsia" w:ascii="宋体" w:hAnsi="宋体"/>
                <w:color w:val="auto"/>
                <w:kern w:val="0"/>
                <w:sz w:val="18"/>
              </w:rPr>
              <w:t>年</w:t>
            </w:r>
            <w:r>
              <w:rPr>
                <w:rFonts w:hint="eastAsia" w:ascii="宋体" w:hAnsi="宋体"/>
                <w:color w:val="auto"/>
                <w:kern w:val="0"/>
                <w:sz w:val="18"/>
                <w:lang w:val="en-US" w:eastAsia="zh-CN"/>
              </w:rPr>
              <w:t>6</w:t>
            </w:r>
            <w:r>
              <w:rPr>
                <w:rFonts w:hint="eastAsia" w:ascii="宋体" w:hAnsi="宋体"/>
                <w:color w:val="auto"/>
                <w:kern w:val="0"/>
                <w:sz w:val="18"/>
              </w:rPr>
              <w:t>月</w:t>
            </w:r>
            <w:r>
              <w:rPr>
                <w:rFonts w:hint="eastAsia" w:ascii="宋体" w:hAnsi="宋体"/>
                <w:color w:val="auto"/>
                <w:kern w:val="0"/>
                <w:sz w:val="18"/>
                <w:lang w:val="en-US" w:eastAsia="zh-CN"/>
              </w:rPr>
              <w:t>18</w:t>
            </w:r>
            <w:r>
              <w:rPr>
                <w:rFonts w:hint="eastAsia" w:ascii="宋体" w:hAnsi="宋体"/>
                <w:color w:val="auto"/>
                <w:kern w:val="0"/>
                <w:sz w:val="18"/>
              </w:rPr>
              <w:t>日</w:t>
            </w:r>
            <w:r>
              <w:rPr>
                <w:rFonts w:hint="eastAsia" w:ascii="宋体" w:hAnsi="宋体"/>
                <w:color w:val="auto"/>
                <w:kern w:val="0"/>
                <w:sz w:val="18"/>
                <w:lang w:eastAsia="zh-CN"/>
              </w:rPr>
              <w:t>（</w:t>
            </w:r>
            <w:r>
              <w:rPr>
                <w:rFonts w:hint="eastAsia" w:ascii="宋体" w:hAnsi="宋体"/>
                <w:color w:val="auto"/>
                <w:kern w:val="0"/>
                <w:sz w:val="18"/>
                <w:lang w:val="en-US" w:eastAsia="zh-CN"/>
              </w:rPr>
              <w:t>17:00前</w:t>
            </w:r>
            <w:r>
              <w:rPr>
                <w:rFonts w:hint="eastAsia" w:ascii="宋体" w:hAnsi="宋体"/>
                <w:color w:val="auto"/>
                <w:kern w:val="0"/>
                <w:sz w:val="1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eastAsia="宋体" w:cs="宋体"/>
                <w:sz w:val="18"/>
                <w:szCs w:val="18"/>
                <w:vertAlign w:val="baseline"/>
                <w:lang w:val="en-US" w:eastAsia="zh-CN"/>
              </w:rPr>
            </w:pPr>
            <w:r>
              <w:rPr>
                <w:rFonts w:hint="eastAsia" w:ascii="宋体" w:hAnsi="宋体"/>
                <w:kern w:val="0"/>
                <w:sz w:val="18"/>
                <w:lang w:eastAsia="zh-CN"/>
              </w:rPr>
              <w:t>本投资周期认购确认日</w:t>
            </w:r>
          </w:p>
        </w:tc>
        <w:tc>
          <w:tcPr>
            <w:tcW w:w="7569" w:type="dxa"/>
            <w:gridSpan w:val="2"/>
            <w:tcBorders>
              <w:tl2br w:val="nil"/>
              <w:tr2bl w:val="nil"/>
            </w:tcBorders>
            <w:vAlign w:val="center"/>
          </w:tcPr>
          <w:p>
            <w:pPr>
              <w:numPr>
                <w:ilvl w:val="0"/>
                <w:numId w:val="0"/>
              </w:numPr>
              <w:jc w:val="center"/>
              <w:rPr>
                <w:rFonts w:hint="eastAsia" w:ascii="宋体" w:hAnsi="宋体" w:cs="宋体"/>
                <w:color w:val="auto"/>
                <w:sz w:val="18"/>
                <w:szCs w:val="18"/>
                <w:vertAlign w:val="baseline"/>
                <w:lang w:val="en-US" w:eastAsia="zh-CN"/>
              </w:rPr>
            </w:pPr>
            <w:r>
              <w:rPr>
                <w:rFonts w:hint="eastAsia" w:ascii="宋体" w:hAnsi="宋体"/>
                <w:color w:val="auto"/>
                <w:kern w:val="0"/>
                <w:sz w:val="18"/>
              </w:rPr>
              <w:t>201</w:t>
            </w:r>
            <w:r>
              <w:rPr>
                <w:rFonts w:hint="eastAsia" w:ascii="宋体" w:hAnsi="宋体"/>
                <w:color w:val="auto"/>
                <w:kern w:val="0"/>
                <w:sz w:val="18"/>
                <w:lang w:val="en-US" w:eastAsia="zh-CN"/>
              </w:rPr>
              <w:t>9</w:t>
            </w:r>
            <w:r>
              <w:rPr>
                <w:rFonts w:hint="eastAsia" w:ascii="宋体" w:hAnsi="宋体"/>
                <w:color w:val="auto"/>
                <w:kern w:val="0"/>
                <w:sz w:val="18"/>
              </w:rPr>
              <w:t>年</w:t>
            </w:r>
            <w:r>
              <w:rPr>
                <w:rFonts w:hint="eastAsia" w:ascii="宋体" w:hAnsi="宋体"/>
                <w:color w:val="auto"/>
                <w:kern w:val="0"/>
                <w:sz w:val="18"/>
                <w:lang w:val="en-US" w:eastAsia="zh-CN"/>
              </w:rPr>
              <w:t>6</w:t>
            </w:r>
            <w:r>
              <w:rPr>
                <w:rFonts w:hint="eastAsia" w:ascii="宋体" w:hAnsi="宋体"/>
                <w:color w:val="auto"/>
                <w:kern w:val="0"/>
                <w:sz w:val="18"/>
              </w:rPr>
              <w:t>月</w:t>
            </w:r>
            <w:r>
              <w:rPr>
                <w:rFonts w:hint="eastAsia" w:ascii="宋体" w:hAnsi="宋体"/>
                <w:color w:val="auto"/>
                <w:kern w:val="0"/>
                <w:sz w:val="18"/>
                <w:lang w:val="en-US" w:eastAsia="zh-CN"/>
              </w:rPr>
              <w:t>20</w:t>
            </w:r>
            <w:r>
              <w:rPr>
                <w:rFonts w:hint="eastAsia" w:ascii="宋体" w:hAnsi="宋体"/>
                <w:color w:val="auto"/>
                <w:kern w:val="0"/>
                <w:sz w:val="18"/>
              </w:rPr>
              <w:t>日</w:t>
            </w:r>
            <w:r>
              <w:rPr>
                <w:rFonts w:hint="eastAsia" w:ascii="宋体" w:hAnsi="宋体"/>
                <w:color w:val="auto"/>
                <w:kern w:val="0"/>
                <w:sz w:val="18"/>
                <w:lang w:eastAsia="zh-CN"/>
              </w:rPr>
              <w:t>（</w:t>
            </w:r>
            <w:r>
              <w:rPr>
                <w:rFonts w:hint="eastAsia" w:ascii="宋体" w:hAnsi="宋体"/>
                <w:color w:val="auto"/>
                <w:kern w:val="0"/>
                <w:sz w:val="18"/>
                <w:lang w:val="en-US" w:eastAsia="zh-CN"/>
              </w:rPr>
              <w:t>理财产品份额自确认日起计算收益）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本投资周期到期日</w:t>
            </w:r>
          </w:p>
        </w:tc>
        <w:tc>
          <w:tcPr>
            <w:tcW w:w="7569" w:type="dxa"/>
            <w:gridSpan w:val="2"/>
            <w:tcBorders>
              <w:tl2br w:val="nil"/>
              <w:tr2bl w:val="nil"/>
            </w:tcBorders>
            <w:vAlign w:val="center"/>
          </w:tcPr>
          <w:p>
            <w:pPr>
              <w:numPr>
                <w:ilvl w:val="0"/>
                <w:numId w:val="0"/>
              </w:numPr>
              <w:jc w:val="center"/>
              <w:rPr>
                <w:rFonts w:hint="eastAsia" w:ascii="宋体" w:hAnsi="宋体" w:cs="宋体"/>
                <w:color w:val="auto"/>
                <w:sz w:val="18"/>
                <w:szCs w:val="18"/>
                <w:vertAlign w:val="baseline"/>
                <w:lang w:val="en-US" w:eastAsia="zh-CN"/>
              </w:rPr>
            </w:pPr>
            <w:r>
              <w:rPr>
                <w:rFonts w:hint="eastAsia" w:ascii="宋体" w:hAnsi="宋体"/>
                <w:color w:val="auto"/>
                <w:kern w:val="0"/>
                <w:sz w:val="18"/>
              </w:rPr>
              <w:t>201</w:t>
            </w:r>
            <w:r>
              <w:rPr>
                <w:rFonts w:hint="eastAsia" w:ascii="宋体" w:hAnsi="宋体"/>
                <w:color w:val="auto"/>
                <w:kern w:val="0"/>
                <w:sz w:val="18"/>
                <w:lang w:val="en-US" w:eastAsia="zh-CN"/>
              </w:rPr>
              <w:t>9</w:t>
            </w:r>
            <w:r>
              <w:rPr>
                <w:rFonts w:hint="eastAsia" w:ascii="宋体" w:hAnsi="宋体"/>
                <w:color w:val="auto"/>
                <w:kern w:val="0"/>
                <w:sz w:val="18"/>
              </w:rPr>
              <w:t>年</w:t>
            </w:r>
            <w:r>
              <w:rPr>
                <w:rFonts w:hint="eastAsia" w:ascii="宋体" w:hAnsi="宋体"/>
                <w:color w:val="auto"/>
                <w:kern w:val="0"/>
                <w:sz w:val="18"/>
                <w:lang w:val="en-US" w:eastAsia="zh-CN"/>
              </w:rPr>
              <w:t>7</w:t>
            </w:r>
            <w:r>
              <w:rPr>
                <w:rFonts w:hint="eastAsia" w:ascii="宋体" w:hAnsi="宋体"/>
                <w:color w:val="auto"/>
                <w:kern w:val="0"/>
                <w:sz w:val="18"/>
              </w:rPr>
              <w:t>月</w:t>
            </w:r>
            <w:r>
              <w:rPr>
                <w:rFonts w:hint="eastAsia" w:ascii="宋体" w:hAnsi="宋体"/>
                <w:color w:val="auto"/>
                <w:kern w:val="0"/>
                <w:sz w:val="18"/>
                <w:lang w:val="en-US" w:eastAsia="zh-CN"/>
              </w:rPr>
              <w:t>25</w:t>
            </w:r>
            <w:r>
              <w:rPr>
                <w:rFonts w:hint="eastAsia" w:ascii="宋体" w:hAnsi="宋体"/>
                <w:color w:val="auto"/>
                <w:kern w:val="0"/>
                <w:sz w:val="18"/>
              </w:rPr>
              <w:t>日（实际产品期限受制于银行提前终止条款）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jc w:val="center"/>
              <w:rPr>
                <w:rFonts w:hint="eastAsia" w:ascii="宋体" w:hAnsi="宋体" w:cs="宋体"/>
                <w:sz w:val="18"/>
                <w:szCs w:val="18"/>
                <w:vertAlign w:val="baseline"/>
                <w:lang w:val="en-US" w:eastAsia="zh-CN"/>
              </w:rPr>
            </w:pPr>
            <w:r>
              <w:rPr>
                <w:rFonts w:hint="eastAsia" w:ascii="宋体" w:hAnsi="宋体" w:cs="宋体"/>
                <w:sz w:val="18"/>
                <w:szCs w:val="18"/>
              </w:rPr>
              <w:t>本投资周期到期前开放</w:t>
            </w:r>
            <w:r>
              <w:rPr>
                <w:rFonts w:hint="eastAsia" w:ascii="宋体" w:hAnsi="宋体" w:cs="宋体"/>
                <w:sz w:val="18"/>
                <w:szCs w:val="18"/>
                <w:lang w:val="en-US" w:eastAsia="zh-CN"/>
              </w:rPr>
              <w:t>赎回</w:t>
            </w:r>
            <w:r>
              <w:rPr>
                <w:rFonts w:hint="eastAsia" w:ascii="宋体" w:hAnsi="宋体" w:cs="宋体"/>
                <w:sz w:val="18"/>
                <w:szCs w:val="18"/>
              </w:rPr>
              <w:t>日期</w:t>
            </w:r>
          </w:p>
        </w:tc>
        <w:tc>
          <w:tcPr>
            <w:tcW w:w="7569" w:type="dxa"/>
            <w:gridSpan w:val="2"/>
            <w:tcBorders>
              <w:tl2br w:val="nil"/>
              <w:tr2bl w:val="nil"/>
            </w:tcBorders>
            <w:vAlign w:val="center"/>
          </w:tcPr>
          <w:p>
            <w:pPr>
              <w:jc w:val="center"/>
              <w:rPr>
                <w:rFonts w:hint="eastAsia" w:ascii="宋体" w:hAnsi="宋体" w:cs="宋体"/>
                <w:color w:val="auto"/>
                <w:sz w:val="18"/>
                <w:szCs w:val="18"/>
                <w:vertAlign w:val="baseline"/>
                <w:lang w:val="en-US" w:eastAsia="zh-CN"/>
              </w:rPr>
            </w:pPr>
            <w:r>
              <w:rPr>
                <w:rFonts w:hint="eastAsia" w:ascii="宋体" w:hAnsi="宋体"/>
                <w:color w:val="auto"/>
                <w:kern w:val="0"/>
                <w:sz w:val="18"/>
              </w:rPr>
              <w:t>201</w:t>
            </w:r>
            <w:r>
              <w:rPr>
                <w:rFonts w:hint="eastAsia" w:ascii="宋体" w:hAnsi="宋体"/>
                <w:color w:val="auto"/>
                <w:kern w:val="0"/>
                <w:sz w:val="18"/>
                <w:lang w:val="en-US" w:eastAsia="zh-CN"/>
              </w:rPr>
              <w:t>9</w:t>
            </w:r>
            <w:r>
              <w:rPr>
                <w:rFonts w:hint="eastAsia" w:ascii="宋体" w:hAnsi="宋体"/>
                <w:color w:val="auto"/>
                <w:kern w:val="0"/>
                <w:sz w:val="18"/>
              </w:rPr>
              <w:t>年</w:t>
            </w:r>
            <w:r>
              <w:rPr>
                <w:rFonts w:hint="eastAsia" w:ascii="宋体" w:hAnsi="宋体"/>
                <w:color w:val="auto"/>
                <w:kern w:val="0"/>
                <w:sz w:val="18"/>
                <w:lang w:val="en-US" w:eastAsia="zh-CN"/>
              </w:rPr>
              <w:t>7</w:t>
            </w:r>
            <w:r>
              <w:rPr>
                <w:rFonts w:hint="eastAsia" w:ascii="宋体" w:hAnsi="宋体"/>
                <w:color w:val="auto"/>
                <w:kern w:val="0"/>
                <w:sz w:val="18"/>
              </w:rPr>
              <w:t>月</w:t>
            </w:r>
            <w:r>
              <w:rPr>
                <w:rFonts w:hint="eastAsia" w:ascii="宋体" w:hAnsi="宋体"/>
                <w:color w:val="auto"/>
                <w:kern w:val="0"/>
                <w:sz w:val="18"/>
                <w:lang w:val="en-US" w:eastAsia="zh-CN"/>
              </w:rPr>
              <w:t>17</w:t>
            </w:r>
            <w:r>
              <w:rPr>
                <w:rFonts w:hint="eastAsia" w:ascii="宋体" w:hAnsi="宋体"/>
                <w:color w:val="auto"/>
                <w:kern w:val="0"/>
                <w:sz w:val="18"/>
              </w:rPr>
              <w:t>日—201</w:t>
            </w:r>
            <w:r>
              <w:rPr>
                <w:rFonts w:hint="eastAsia" w:ascii="宋体" w:hAnsi="宋体"/>
                <w:color w:val="auto"/>
                <w:kern w:val="0"/>
                <w:sz w:val="18"/>
                <w:lang w:val="en-US" w:eastAsia="zh-CN"/>
              </w:rPr>
              <w:t>9</w:t>
            </w:r>
            <w:r>
              <w:rPr>
                <w:rFonts w:hint="eastAsia" w:ascii="宋体" w:hAnsi="宋体"/>
                <w:color w:val="auto"/>
                <w:kern w:val="0"/>
                <w:sz w:val="18"/>
              </w:rPr>
              <w:t>年</w:t>
            </w:r>
            <w:r>
              <w:rPr>
                <w:rFonts w:hint="eastAsia" w:ascii="宋体" w:hAnsi="宋体"/>
                <w:color w:val="auto"/>
                <w:kern w:val="0"/>
                <w:sz w:val="18"/>
                <w:lang w:val="en-US" w:eastAsia="zh-CN"/>
              </w:rPr>
              <w:t>7</w:t>
            </w:r>
            <w:r>
              <w:rPr>
                <w:rFonts w:hint="eastAsia" w:ascii="宋体" w:hAnsi="宋体"/>
                <w:color w:val="auto"/>
                <w:kern w:val="0"/>
                <w:sz w:val="18"/>
              </w:rPr>
              <w:t>月</w:t>
            </w:r>
            <w:r>
              <w:rPr>
                <w:rFonts w:hint="eastAsia" w:ascii="宋体" w:hAnsi="宋体"/>
                <w:color w:val="auto"/>
                <w:kern w:val="0"/>
                <w:sz w:val="18"/>
                <w:lang w:val="en-US" w:eastAsia="zh-CN"/>
              </w:rPr>
              <w:t>23</w:t>
            </w:r>
            <w:r>
              <w:rPr>
                <w:rFonts w:hint="eastAsia" w:ascii="宋体" w:hAnsi="宋体"/>
                <w:color w:val="auto"/>
                <w:kern w:val="0"/>
                <w:sz w:val="18"/>
              </w:rPr>
              <w:t>日</w:t>
            </w:r>
          </w:p>
        </w:tc>
      </w:tr>
      <w:tr>
        <w:tblPrEx>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jc w:val="center"/>
              <w:rPr>
                <w:rFonts w:hint="eastAsia" w:ascii="宋体" w:hAnsi="宋体" w:cs="宋体"/>
                <w:sz w:val="18"/>
                <w:szCs w:val="18"/>
                <w:vertAlign w:val="baseline"/>
                <w:lang w:val="en-US" w:eastAsia="zh-CN"/>
              </w:rPr>
            </w:pPr>
            <w:r>
              <w:rPr>
                <w:rFonts w:hint="eastAsia" w:ascii="宋体" w:hAnsi="宋体" w:cs="宋体"/>
                <w:sz w:val="18"/>
                <w:szCs w:val="18"/>
              </w:rPr>
              <w:t>本投资周期到期前开放</w:t>
            </w:r>
            <w:r>
              <w:rPr>
                <w:rFonts w:hint="eastAsia" w:ascii="宋体" w:hAnsi="宋体" w:cs="宋体"/>
                <w:sz w:val="18"/>
                <w:szCs w:val="18"/>
                <w:lang w:val="en-US" w:eastAsia="zh-CN"/>
              </w:rPr>
              <w:t>申购</w:t>
            </w:r>
            <w:r>
              <w:rPr>
                <w:rFonts w:hint="eastAsia" w:ascii="宋体" w:hAnsi="宋体" w:cs="宋体"/>
                <w:sz w:val="18"/>
                <w:szCs w:val="18"/>
              </w:rPr>
              <w:t>日期</w:t>
            </w:r>
          </w:p>
        </w:tc>
        <w:tc>
          <w:tcPr>
            <w:tcW w:w="7569" w:type="dxa"/>
            <w:gridSpan w:val="2"/>
            <w:tcBorders>
              <w:tl2br w:val="nil"/>
              <w:tr2bl w:val="nil"/>
            </w:tcBorders>
            <w:vAlign w:val="center"/>
          </w:tcPr>
          <w:p>
            <w:pPr>
              <w:jc w:val="center"/>
              <w:rPr>
                <w:rFonts w:hint="eastAsia" w:ascii="宋体" w:hAnsi="宋体"/>
                <w:color w:val="auto"/>
                <w:kern w:val="0"/>
                <w:sz w:val="18"/>
              </w:rPr>
            </w:pPr>
            <w:r>
              <w:rPr>
                <w:rFonts w:hint="eastAsia" w:ascii="宋体" w:hAnsi="宋体"/>
                <w:color w:val="auto"/>
                <w:kern w:val="0"/>
                <w:sz w:val="18"/>
              </w:rPr>
              <w:t>201</w:t>
            </w:r>
            <w:r>
              <w:rPr>
                <w:rFonts w:hint="eastAsia" w:ascii="宋体" w:hAnsi="宋体"/>
                <w:color w:val="auto"/>
                <w:kern w:val="0"/>
                <w:sz w:val="18"/>
                <w:lang w:val="en-US" w:eastAsia="zh-CN"/>
              </w:rPr>
              <w:t>9</w:t>
            </w:r>
            <w:r>
              <w:rPr>
                <w:rFonts w:hint="eastAsia" w:ascii="宋体" w:hAnsi="宋体"/>
                <w:color w:val="auto"/>
                <w:kern w:val="0"/>
                <w:sz w:val="18"/>
              </w:rPr>
              <w:t>年</w:t>
            </w:r>
            <w:r>
              <w:rPr>
                <w:rFonts w:hint="eastAsia" w:ascii="宋体" w:hAnsi="宋体"/>
                <w:color w:val="auto"/>
                <w:kern w:val="0"/>
                <w:sz w:val="18"/>
                <w:lang w:val="en-US" w:eastAsia="zh-CN"/>
              </w:rPr>
              <w:t>7</w:t>
            </w:r>
            <w:r>
              <w:rPr>
                <w:rFonts w:hint="eastAsia" w:ascii="宋体" w:hAnsi="宋体"/>
                <w:color w:val="auto"/>
                <w:kern w:val="0"/>
                <w:sz w:val="18"/>
              </w:rPr>
              <w:t>月</w:t>
            </w:r>
            <w:r>
              <w:rPr>
                <w:rFonts w:hint="eastAsia" w:ascii="宋体" w:hAnsi="宋体"/>
                <w:color w:val="auto"/>
                <w:kern w:val="0"/>
                <w:sz w:val="18"/>
                <w:lang w:val="en-US" w:eastAsia="zh-CN"/>
              </w:rPr>
              <w:t>17</w:t>
            </w:r>
            <w:r>
              <w:rPr>
                <w:rFonts w:hint="eastAsia" w:ascii="宋体" w:hAnsi="宋体"/>
                <w:color w:val="auto"/>
                <w:kern w:val="0"/>
                <w:sz w:val="18"/>
              </w:rPr>
              <w:t>日—201</w:t>
            </w:r>
            <w:r>
              <w:rPr>
                <w:rFonts w:hint="eastAsia" w:ascii="宋体" w:hAnsi="宋体"/>
                <w:color w:val="auto"/>
                <w:kern w:val="0"/>
                <w:sz w:val="18"/>
                <w:lang w:val="en-US" w:eastAsia="zh-CN"/>
              </w:rPr>
              <w:t>9</w:t>
            </w:r>
            <w:r>
              <w:rPr>
                <w:rFonts w:hint="eastAsia" w:ascii="宋体" w:hAnsi="宋体"/>
                <w:color w:val="auto"/>
                <w:kern w:val="0"/>
                <w:sz w:val="18"/>
              </w:rPr>
              <w:t>年</w:t>
            </w:r>
            <w:r>
              <w:rPr>
                <w:rFonts w:hint="eastAsia" w:ascii="宋体" w:hAnsi="宋体"/>
                <w:color w:val="auto"/>
                <w:kern w:val="0"/>
                <w:sz w:val="18"/>
                <w:lang w:val="en-US" w:eastAsia="zh-CN"/>
              </w:rPr>
              <w:t>7</w:t>
            </w:r>
            <w:r>
              <w:rPr>
                <w:rFonts w:hint="eastAsia" w:ascii="宋体" w:hAnsi="宋体"/>
                <w:color w:val="auto"/>
                <w:kern w:val="0"/>
                <w:sz w:val="18"/>
              </w:rPr>
              <w:t>月</w:t>
            </w:r>
            <w:r>
              <w:rPr>
                <w:rFonts w:hint="eastAsia" w:ascii="宋体" w:hAnsi="宋体"/>
                <w:color w:val="auto"/>
                <w:kern w:val="0"/>
                <w:sz w:val="18"/>
                <w:lang w:val="en-US" w:eastAsia="zh-CN"/>
              </w:rPr>
              <w:t>24</w:t>
            </w:r>
            <w:r>
              <w:rPr>
                <w:rFonts w:hint="eastAsia" w:ascii="宋体" w:hAnsi="宋体"/>
                <w:color w:val="auto"/>
                <w:kern w:val="0"/>
                <w:sz w:val="18"/>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本投资周期天数</w:t>
            </w:r>
          </w:p>
        </w:tc>
        <w:tc>
          <w:tcPr>
            <w:tcW w:w="7569" w:type="dxa"/>
            <w:gridSpan w:val="2"/>
            <w:tcBorders>
              <w:tl2br w:val="nil"/>
              <w:tr2bl w:val="nil"/>
            </w:tcBorders>
            <w:vAlign w:val="center"/>
          </w:tcPr>
          <w:p>
            <w:pPr>
              <w:numPr>
                <w:ilvl w:val="0"/>
                <w:numId w:val="0"/>
              </w:numPr>
              <w:jc w:val="center"/>
              <w:rPr>
                <w:rFonts w:hint="eastAsia" w:ascii="宋体" w:hAnsi="宋体" w:eastAsia="宋体"/>
                <w:color w:val="auto"/>
                <w:kern w:val="0"/>
                <w:sz w:val="18"/>
                <w:lang w:val="en-US" w:eastAsia="zh-CN"/>
              </w:rPr>
            </w:pPr>
            <w:r>
              <w:rPr>
                <w:rFonts w:hint="eastAsia" w:ascii="宋体" w:hAnsi="宋体" w:cs="宋体"/>
                <w:color w:val="auto"/>
                <w:sz w:val="18"/>
                <w:szCs w:val="18"/>
                <w:vertAlign w:val="baseline"/>
                <w:lang w:val="en-US" w:eastAsia="zh-CN"/>
              </w:rPr>
              <w:t>35天</w:t>
            </w:r>
            <w:r>
              <w:rPr>
                <w:rFonts w:hint="eastAsia" w:ascii="宋体" w:hAnsi="宋体" w:cs="宋体"/>
                <w:color w:val="auto"/>
                <w:sz w:val="18"/>
                <w:szCs w:val="18"/>
                <w:u w:val="none" w:color="auto"/>
                <w:lang w:val="en-US" w:eastAsia="zh-CN"/>
              </w:rPr>
              <w:t>（如遇节假日顺延）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ascii="宋体" w:hAnsi="宋体"/>
                <w:kern w:val="0"/>
                <w:sz w:val="18"/>
              </w:rPr>
              <w:t>资金到账日</w:t>
            </w:r>
          </w:p>
        </w:tc>
        <w:tc>
          <w:tcPr>
            <w:tcW w:w="7569" w:type="dxa"/>
            <w:gridSpan w:val="2"/>
            <w:tcBorders>
              <w:tl2br w:val="nil"/>
              <w:tr2bl w:val="nil"/>
            </w:tcBorders>
            <w:vAlign w:val="center"/>
          </w:tcPr>
          <w:p>
            <w:pPr>
              <w:numPr>
                <w:ilvl w:val="0"/>
                <w:numId w:val="0"/>
              </w:numPr>
              <w:jc w:val="center"/>
              <w:rPr>
                <w:rFonts w:hint="eastAsia" w:ascii="宋体" w:hAnsi="宋体" w:cs="宋体"/>
                <w:sz w:val="18"/>
                <w:szCs w:val="18"/>
                <w:vertAlign w:val="baseline"/>
                <w:lang w:val="en-US" w:eastAsia="zh-CN"/>
              </w:rPr>
            </w:pPr>
            <w:r>
              <w:rPr>
                <w:rFonts w:hint="eastAsia"/>
                <w:sz w:val="18"/>
                <w:lang w:eastAsia="zh-CN"/>
              </w:rPr>
              <w:t>本投资周期确认</w:t>
            </w:r>
            <w:r>
              <w:rPr>
                <w:rFonts w:hint="eastAsia"/>
                <w:sz w:val="18"/>
              </w:rPr>
              <w:t>日后2个工作日内或提前终止日后</w:t>
            </w:r>
            <w:r>
              <w:rPr>
                <w:sz w:val="18"/>
              </w:rPr>
              <w:t>2个工作日内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jc w:val="center"/>
        </w:trPr>
        <w:tc>
          <w:tcPr>
            <w:tcW w:w="2740" w:type="dxa"/>
            <w:tcBorders>
              <w:tl2br w:val="nil"/>
              <w:tr2bl w:val="nil"/>
            </w:tcBorders>
            <w:vAlign w:val="center"/>
          </w:tcPr>
          <w:p>
            <w:pPr>
              <w:numPr>
                <w:ilvl w:val="0"/>
                <w:numId w:val="0"/>
              </w:numPr>
              <w:jc w:val="center"/>
              <w:rPr>
                <w:rFonts w:hint="eastAsia" w:ascii="宋体" w:hAnsi="宋体"/>
                <w:kern w:val="0"/>
                <w:sz w:val="18"/>
              </w:rPr>
            </w:pPr>
            <w:r>
              <w:rPr>
                <w:rFonts w:hint="eastAsia" w:ascii="宋体" w:hAnsi="宋体"/>
                <w:kern w:val="0"/>
                <w:sz w:val="18"/>
              </w:rPr>
              <w:t>收益支付方式</w:t>
            </w:r>
          </w:p>
        </w:tc>
        <w:tc>
          <w:tcPr>
            <w:tcW w:w="7569" w:type="dxa"/>
            <w:gridSpan w:val="2"/>
            <w:tcBorders>
              <w:tl2br w:val="nil"/>
              <w:tr2bl w:val="nil"/>
            </w:tcBorders>
            <w:vAlign w:val="center"/>
          </w:tcPr>
          <w:p>
            <w:pPr>
              <w:jc w:val="center"/>
              <w:rPr>
                <w:rFonts w:hint="eastAsia" w:ascii="宋体" w:hAnsi="宋体"/>
                <w:kern w:val="0"/>
                <w:sz w:val="18"/>
              </w:rPr>
            </w:pPr>
            <w:r>
              <w:rPr>
                <w:rFonts w:hint="eastAsia" w:ascii="宋体" w:hAnsi="宋体"/>
                <w:kern w:val="0"/>
                <w:sz w:val="18"/>
              </w:rPr>
              <w:t>本投资周期结束：收益兑付。如申请赎回，对应本金一次性兑付；</w:t>
            </w:r>
          </w:p>
          <w:p>
            <w:pPr>
              <w:numPr>
                <w:ilvl w:val="0"/>
                <w:numId w:val="0"/>
              </w:numPr>
              <w:jc w:val="center"/>
              <w:rPr>
                <w:rFonts w:hint="eastAsia" w:ascii="宋体" w:hAnsi="宋体"/>
                <w:kern w:val="0"/>
                <w:sz w:val="18"/>
              </w:rPr>
            </w:pPr>
            <w:r>
              <w:rPr>
                <w:rFonts w:hint="eastAsia" w:ascii="宋体" w:hAnsi="宋体"/>
                <w:kern w:val="0"/>
                <w:sz w:val="18"/>
              </w:rPr>
              <w:t>如未申请赎回，本金</w:t>
            </w:r>
            <w:r>
              <w:rPr>
                <w:rFonts w:hint="eastAsia" w:ascii="宋体" w:hAnsi="宋体"/>
                <w:kern w:val="0"/>
                <w:sz w:val="18"/>
                <w:lang w:eastAsia="zh-CN"/>
              </w:rPr>
              <w:t>自动申购</w:t>
            </w:r>
            <w:r>
              <w:rPr>
                <w:rFonts w:hint="eastAsia" w:ascii="宋体" w:hAnsi="宋体"/>
                <w:kern w:val="0"/>
                <w:sz w:val="18"/>
              </w:rPr>
              <w:t>下一投资周期。</w:t>
            </w:r>
          </w:p>
        </w:tc>
      </w:tr>
    </w:tbl>
    <w:p>
      <w:pPr>
        <w:numPr>
          <w:ilvl w:val="0"/>
          <w:numId w:val="0"/>
        </w:numPr>
        <w:jc w:val="left"/>
        <w:rPr>
          <w:rFonts w:hint="eastAsia" w:ascii="宋体" w:hAnsi="宋体" w:cs="宋体"/>
          <w:b/>
          <w:bCs/>
          <w:sz w:val="21"/>
          <w:szCs w:val="21"/>
          <w:lang w:val="en-US" w:eastAsia="zh-CN"/>
        </w:rPr>
      </w:pPr>
      <w:r>
        <w:rPr>
          <w:rFonts w:hint="eastAsia" w:ascii="宋体" w:hAnsi="宋体" w:cs="宋体"/>
          <w:b/>
          <w:bCs/>
          <w:sz w:val="21"/>
          <w:szCs w:val="21"/>
          <w:lang w:val="en-US" w:eastAsia="zh-CN"/>
        </w:rPr>
        <w:t xml:space="preserve">   </w:t>
      </w:r>
    </w:p>
    <w:p>
      <w:pPr>
        <w:numPr>
          <w:ilvl w:val="0"/>
          <w:numId w:val="0"/>
        </w:numPr>
        <w:ind w:firstLine="421"/>
        <w:jc w:val="left"/>
        <w:rPr>
          <w:rFonts w:hint="eastAsia" w:ascii="宋体" w:hAnsi="宋体" w:cs="宋体"/>
          <w:b/>
          <w:bCs/>
          <w:sz w:val="21"/>
          <w:szCs w:val="21"/>
          <w:lang w:val="en-US" w:eastAsia="zh-CN"/>
        </w:rPr>
      </w:pPr>
      <w:r>
        <w:rPr>
          <w:rFonts w:hint="eastAsia" w:ascii="宋体" w:hAnsi="宋体" w:cs="宋体"/>
          <w:b/>
          <w:bCs/>
          <w:sz w:val="21"/>
          <w:szCs w:val="21"/>
          <w:lang w:val="en-US" w:eastAsia="zh-CN"/>
        </w:rPr>
        <w:t>二、特别提示</w:t>
      </w:r>
    </w:p>
    <w:p>
      <w:pPr>
        <w:numPr>
          <w:ilvl w:val="0"/>
          <w:numId w:val="0"/>
        </w:numPr>
        <w:ind w:firstLine="421"/>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1.本申购要素表为理财产品说明书不可分割之组成部分；</w:t>
      </w:r>
    </w:p>
    <w:p>
      <w:pPr>
        <w:numPr>
          <w:ilvl w:val="0"/>
          <w:numId w:val="0"/>
        </w:numPr>
        <w:ind w:firstLine="421"/>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2.本申购要素表中公告的本投资周期预期收益率（年化）仅表示本申购要素表中公告的当前投资周期的预期收益率（年化），不同投资周期的预期收益率（年化）可能会发生调整，特提醒投资者关注；</w:t>
      </w:r>
    </w:p>
    <w:p>
      <w:pPr>
        <w:numPr>
          <w:ilvl w:val="0"/>
          <w:numId w:val="0"/>
        </w:numPr>
        <w:ind w:firstLine="421"/>
        <w:jc w:val="left"/>
        <w:rPr>
          <w:rFonts w:hint="eastAsia" w:ascii="宋体" w:hAnsi="宋体"/>
          <w:b/>
          <w:sz w:val="18"/>
          <w:u w:val="single"/>
          <w:lang w:eastAsia="zh-CN"/>
        </w:rPr>
      </w:pPr>
      <w:r>
        <w:rPr>
          <w:rFonts w:hint="eastAsia" w:ascii="宋体" w:hAnsi="宋体" w:cs="宋体"/>
          <w:b w:val="0"/>
          <w:bCs w:val="0"/>
          <w:sz w:val="18"/>
          <w:szCs w:val="18"/>
          <w:lang w:val="en-US" w:eastAsia="zh-CN"/>
        </w:rPr>
        <w:t>3.</w:t>
      </w:r>
      <w:r>
        <w:rPr>
          <w:rFonts w:hint="eastAsia" w:ascii="宋体" w:hAnsi="宋体"/>
          <w:b/>
          <w:sz w:val="18"/>
          <w:u w:val="single"/>
        </w:rPr>
        <w:t>本理财产</w:t>
      </w:r>
      <w:r>
        <w:rPr>
          <w:rFonts w:hint="eastAsia" w:ascii="宋体" w:hAnsi="宋体"/>
          <w:b/>
          <w:color w:val="auto"/>
          <w:sz w:val="18"/>
          <w:u w:val="single"/>
        </w:rPr>
        <w:t>品为非保本浮动类理财产</w:t>
      </w:r>
      <w:r>
        <w:rPr>
          <w:rFonts w:hint="eastAsia" w:ascii="宋体" w:hAnsi="宋体"/>
          <w:b/>
          <w:sz w:val="18"/>
          <w:u w:val="single"/>
        </w:rPr>
        <w:t>品，不保证本金和收益，</w:t>
      </w:r>
      <w:r>
        <w:rPr>
          <w:rFonts w:hint="eastAsia" w:ascii="宋体" w:hAnsi="宋体"/>
          <w:b/>
          <w:sz w:val="18"/>
          <w:u w:val="single"/>
          <w:lang w:eastAsia="zh-CN"/>
        </w:rPr>
        <w:t>盛京银行将本着勤勉尽责的原则对理财产品进行运作，但并不保证每个投资周期的实际收益率（年化）一定能够达到本申购要素表公告的相应投资周期理财产品的预期收益率（年化）。</w:t>
      </w:r>
    </w:p>
    <w:p>
      <w:pPr>
        <w:numPr>
          <w:ilvl w:val="0"/>
          <w:numId w:val="0"/>
        </w:numPr>
        <w:ind w:firstLine="421"/>
        <w:jc w:val="left"/>
        <w:rPr>
          <w:rFonts w:hint="eastAsia" w:ascii="宋体" w:hAnsi="宋体"/>
          <w:b/>
          <w:sz w:val="18"/>
          <w:u w:val="single"/>
          <w:lang w:eastAsia="zh-CN"/>
        </w:rPr>
      </w:pPr>
    </w:p>
    <w:p>
      <w:pPr>
        <w:numPr>
          <w:ilvl w:val="0"/>
          <w:numId w:val="0"/>
        </w:numPr>
        <w:ind w:firstLine="421"/>
        <w:jc w:val="left"/>
        <w:rPr>
          <w:rFonts w:hint="eastAsia" w:ascii="宋体" w:hAnsi="宋体"/>
          <w:b/>
          <w:sz w:val="18"/>
          <w:u w:val="single"/>
          <w:lang w:eastAsia="zh-CN"/>
        </w:rPr>
      </w:pPr>
    </w:p>
    <w:p>
      <w:pPr>
        <w:numPr>
          <w:ilvl w:val="0"/>
          <w:numId w:val="0"/>
        </w:numPr>
        <w:ind w:firstLine="421"/>
        <w:jc w:val="right"/>
        <w:rPr>
          <w:rFonts w:hint="eastAsia" w:ascii="宋体" w:hAnsi="宋体"/>
          <w:sz w:val="18"/>
        </w:rPr>
      </w:pPr>
      <w:r>
        <w:rPr>
          <w:rFonts w:hint="eastAsia" w:ascii="黑体" w:hAnsi="黑体" w:eastAsia="黑体" w:cs="黑体"/>
          <w:sz w:val="28"/>
          <w:szCs w:val="28"/>
          <w:lang w:val="en-US" w:eastAsia="zh-CN"/>
        </w:rPr>
        <w:t>盛京银行股份有限公司</w:t>
      </w:r>
    </w:p>
    <w:p>
      <w:bookmarkStart w:id="0" w:name="_GoBack"/>
      <w:bookmarkEnd w:id="0"/>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10180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yangbin</dc:creator>
  <cp:lastModifiedBy>yangbin</cp:lastModifiedBy>
  <dcterms:modified xsi:type="dcterms:W3CDTF">2019-06-11T09:30:23Z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